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BE" w:rsidRPr="001A23BE" w:rsidRDefault="009B2FB6" w:rsidP="009B2FB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15541548"/>
      <w:bookmarkStart w:id="1" w:name="_GoBack"/>
      <w:r w:rsidRPr="001A2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DIASTOLIC WALL STRAIN PREDICTS MORTALITY IN PATIENTS WITH NON-ST ELEVATION MYOCARDIAL INFARCTION</w:t>
      </w:r>
    </w:p>
    <w:p w:rsidR="009B2FB6" w:rsidRDefault="001A23BE" w:rsidP="009B2FB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B. Horn</w:t>
      </w:r>
      <w:r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P. Ram, E. </w:t>
      </w:r>
      <w:proofErr w:type="spellStart"/>
      <w:r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>Obasare</w:t>
      </w:r>
      <w:proofErr w:type="spellEnd"/>
      <w:r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</w:t>
      </w:r>
      <w:proofErr w:type="spellStart"/>
      <w:r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>Nwakile</w:t>
      </w:r>
      <w:proofErr w:type="spellEnd"/>
      <w:r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 </w:t>
      </w:r>
      <w:proofErr w:type="spellStart"/>
      <w:r w:rsidR="009B2FB6"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>Alnabelsi</w:t>
      </w:r>
      <w:proofErr w:type="spellEnd"/>
      <w:r w:rsidR="009B2FB6"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B2FB6"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Lu, </w:t>
      </w:r>
      <w:r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9B2FB6"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>. Bhalla</w:t>
      </w:r>
      <w:r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V. Figueredo, </w:t>
      </w:r>
    </w:p>
    <w:p w:rsidR="009B2FB6" w:rsidRDefault="001A23BE" w:rsidP="009B2FB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G. </w:t>
      </w:r>
      <w:proofErr w:type="spellStart"/>
      <w:r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>Pressman</w:t>
      </w:r>
    </w:p>
    <w:p w:rsidR="001A23BE" w:rsidRPr="001A23BE" w:rsidRDefault="001A23BE" w:rsidP="009B2FB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End"/>
      <w:r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Einstein Medical Center, </w:t>
      </w:r>
      <w:r w:rsidR="009B2FB6"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>Philadelphia</w:t>
      </w:r>
      <w:r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>, PA, USA</w:t>
      </w:r>
    </w:p>
    <w:bookmarkEnd w:id="0"/>
    <w:bookmarkEnd w:id="1"/>
    <w:p w:rsidR="001A23BE" w:rsidRPr="001A23BE" w:rsidRDefault="001A23BE" w:rsidP="009B2FB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FB6" w:rsidRDefault="001A23BE" w:rsidP="009B2FB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Background:</w:t>
      </w:r>
      <w:r w:rsidR="009B2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>Diastolic Wall Strain (DWS) is a preload-independent estimator of left ventricular (LV) stiffness. DWS correlates with systolic and diastolic indices of LV performance by speckle tracking echocardiography. This study investigates DWS as a predictor of mortality in patients with non-ST elevation myocardial infarction (NSTEMI).</w:t>
      </w:r>
      <w:r w:rsidR="009B2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2FB6" w:rsidRDefault="001A23BE" w:rsidP="009B2FB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Methods:</w:t>
      </w:r>
      <w:r w:rsidR="009B2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Four hundred and </w:t>
      </w:r>
      <w:proofErr w:type="gramStart"/>
      <w:r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>thirty four</w:t>
      </w:r>
      <w:proofErr w:type="gramEnd"/>
      <w:r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consecutive patients had NSTEMI; mean age was 67 ± 14 years, 51% were male, 69% African American. Mean BSA = 1.9 ± 0.3, EF = 0.49 ± 0.14, TIMI Score = 4; median peak troponin = 3.4; 42% had PCI or CABG. DWS was defined as (LVPWs - </w:t>
      </w:r>
      <w:proofErr w:type="spellStart"/>
      <w:r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>LVPWd</w:t>
      </w:r>
      <w:proofErr w:type="spellEnd"/>
      <w:r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)/LVPWs where LVPWs = left ventricular posterior wall thickness in systole and </w:t>
      </w:r>
      <w:proofErr w:type="spellStart"/>
      <w:r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>LVPWd</w:t>
      </w:r>
      <w:proofErr w:type="spellEnd"/>
      <w:r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wall thickness in diastole.</w:t>
      </w:r>
      <w:r w:rsidR="009B2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2FB6" w:rsidRDefault="001A23BE" w:rsidP="009B2FB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="009B2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>On admission mean DWS was reduced at 0.32 ± 0.13 (normal 0.4 ± 0.07). Cox regression analysis showed a negative interaction between DWS and 1-year survival, even after adjustment for age, sex, race, TIMI score, EF, E/e’, and revascularization (p &lt; 0.02). The c-index for DWS from the ROC curve was 0.60 (95% CI: 0.53 - 0.66). The best cut-off value for DWS was 0.25 (specificity 73%, sensitivity 40%).</w:t>
      </w:r>
      <w:r w:rsidR="009B2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B2FB6" w:rsidRDefault="001A23BE" w:rsidP="009B2FB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</w:t>
      </w:r>
      <w:r w:rsidR="009B2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>DWS is an independent predictor of all-cause mortality in patients with NSTEMI. This measure is easily applied during routine echocardiography. Prospective studies are warranted to investigate use of DWS in guiding treatment of patients with NSTEMI.</w:t>
      </w:r>
      <w:r w:rsidR="009B2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23BE" w:rsidRPr="001A23BE" w:rsidRDefault="001A23BE" w:rsidP="009B2FB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Clinical Implications: </w:t>
      </w:r>
      <w:r w:rsidRPr="001A23BE">
        <w:rPr>
          <w:rFonts w:ascii="Times New Roman" w:eastAsia="Times New Roman" w:hAnsi="Times New Roman" w:cs="Times New Roman"/>
          <w:color w:val="000000"/>
          <w:sz w:val="24"/>
          <w:szCs w:val="24"/>
        </w:rPr>
        <w:t>DWS may be used as a tool to assess a patient’s risk of death with non-ST elevation myocardial infarction.</w:t>
      </w:r>
    </w:p>
    <w:p w:rsidR="001A23BE" w:rsidRPr="001A23BE" w:rsidRDefault="001A23BE" w:rsidP="009B2F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1A23BE" w:rsidRDefault="008F3ADC" w:rsidP="009B2FB6">
      <w:pPr>
        <w:rPr>
          <w:sz w:val="24"/>
          <w:szCs w:val="24"/>
        </w:rPr>
      </w:pPr>
    </w:p>
    <w:sectPr w:rsidR="00345DBB" w:rsidRPr="001A23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ADC" w:rsidRDefault="008F3ADC" w:rsidP="009B2FB6">
      <w:r>
        <w:separator/>
      </w:r>
    </w:p>
  </w:endnote>
  <w:endnote w:type="continuationSeparator" w:id="0">
    <w:p w:rsidR="008F3ADC" w:rsidRDefault="008F3ADC" w:rsidP="009B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ADC" w:rsidRDefault="008F3ADC" w:rsidP="009B2FB6">
      <w:r>
        <w:separator/>
      </w:r>
    </w:p>
  </w:footnote>
  <w:footnote w:type="continuationSeparator" w:id="0">
    <w:p w:rsidR="008F3ADC" w:rsidRDefault="008F3ADC" w:rsidP="009B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FB6" w:rsidRPr="001A23BE" w:rsidRDefault="009B2FB6" w:rsidP="009B2FB6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1A23BE">
      <w:rPr>
        <w:rFonts w:ascii="Times New Roman" w:eastAsia="Times New Roman" w:hAnsi="Times New Roman" w:cs="Times New Roman"/>
        <w:color w:val="000000"/>
        <w:sz w:val="24"/>
        <w:szCs w:val="24"/>
      </w:rPr>
      <w:t>18-A-1185-IAC</w:t>
    </w:r>
  </w:p>
  <w:p w:rsidR="009B2FB6" w:rsidRPr="001A23BE" w:rsidRDefault="009B2FB6" w:rsidP="009B2FB6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1A23BE">
      <w:rPr>
        <w:rFonts w:ascii="Times New Roman" w:eastAsia="Times New Roman" w:hAnsi="Times New Roman" w:cs="Times New Roman"/>
        <w:color w:val="000000"/>
        <w:sz w:val="24"/>
        <w:szCs w:val="24"/>
      </w:rPr>
      <w:t xml:space="preserve">21. Acute Ischemic Coronary Artery Disease (ST-Elevation MI / </w:t>
    </w:r>
    <w:proofErr w:type="gramStart"/>
    <w:r w:rsidRPr="001A23BE">
      <w:rPr>
        <w:rFonts w:ascii="Times New Roman" w:eastAsia="Times New Roman" w:hAnsi="Times New Roman" w:cs="Times New Roman"/>
        <w:color w:val="000000"/>
        <w:sz w:val="24"/>
        <w:szCs w:val="24"/>
      </w:rPr>
      <w:t>Non ST</w:t>
    </w:r>
    <w:proofErr w:type="gramEnd"/>
    <w:r w:rsidRPr="001A23BE">
      <w:rPr>
        <w:rFonts w:ascii="Times New Roman" w:eastAsia="Times New Roman" w:hAnsi="Times New Roman" w:cs="Times New Roman"/>
        <w:color w:val="000000"/>
        <w:sz w:val="24"/>
        <w:szCs w:val="24"/>
      </w:rPr>
      <w:t>-Elevation ACS)</w:t>
    </w:r>
  </w:p>
  <w:p w:rsidR="009B2FB6" w:rsidRDefault="009B2FB6">
    <w:pPr>
      <w:pStyle w:val="Header"/>
    </w:pPr>
  </w:p>
  <w:p w:rsidR="009B2FB6" w:rsidRDefault="009B2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BE"/>
    <w:rsid w:val="001A23BE"/>
    <w:rsid w:val="0030401F"/>
    <w:rsid w:val="005731B3"/>
    <w:rsid w:val="00721CF4"/>
    <w:rsid w:val="008A10D5"/>
    <w:rsid w:val="008F3ADC"/>
    <w:rsid w:val="009B2FB6"/>
    <w:rsid w:val="00A128E1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365D"/>
  <w15:chartTrackingRefBased/>
  <w15:docId w15:val="{EC80E027-689C-4BBB-AC13-61C90A3D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FB6"/>
  </w:style>
  <w:style w:type="paragraph" w:styleId="Footer">
    <w:name w:val="footer"/>
    <w:basedOn w:val="Normal"/>
    <w:link w:val="FooterChar"/>
    <w:uiPriority w:val="99"/>
    <w:unhideWhenUsed/>
    <w:rsid w:val="009B2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3</cp:revision>
  <dcterms:created xsi:type="dcterms:W3CDTF">2018-05-31T11:45:00Z</dcterms:created>
  <dcterms:modified xsi:type="dcterms:W3CDTF">2018-05-31T12:42:00Z</dcterms:modified>
</cp:coreProperties>
</file>